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071" w:type="dxa"/>
        <w:jc w:val="center"/>
        <w:tblInd w:w="0" w:type="dxa"/>
        <w:tblLayout w:type="fixed"/>
        <w:tblCellMar>
          <w:top w:w="0" w:type="dxa"/>
          <w:left w:w="108" w:type="dxa"/>
          <w:bottom w:w="0" w:type="dxa"/>
          <w:right w:w="108" w:type="dxa"/>
        </w:tblCellMar>
      </w:tblPr>
      <w:tblGrid>
        <w:gridCol w:w="1071"/>
        <w:gridCol w:w="13000"/>
      </w:tblGrid>
      <w:tr>
        <w:tblPrEx>
          <w:tblLayout w:type="fixed"/>
          <w:tblCellMar>
            <w:top w:w="0" w:type="dxa"/>
            <w:left w:w="108" w:type="dxa"/>
            <w:bottom w:w="0" w:type="dxa"/>
            <w:right w:w="108" w:type="dxa"/>
          </w:tblCellMar>
        </w:tblPrEx>
        <w:trPr>
          <w:trHeight w:val="985" w:hRule="atLeast"/>
          <w:jc w:val="center"/>
        </w:trPr>
        <w:tc>
          <w:tcPr>
            <w:tcW w:w="14071" w:type="dxa"/>
            <w:gridSpan w:val="2"/>
            <w:tcBorders>
              <w:top w:val="nil"/>
              <w:left w:val="nil"/>
              <w:bottom w:val="single" w:color="auto" w:sz="4" w:space="0"/>
              <w:right w:val="nil"/>
            </w:tcBorders>
            <w:shd w:val="clear" w:color="auto" w:fill="auto"/>
            <w:noWrap/>
            <w:vAlign w:val="center"/>
          </w:tcPr>
          <w:p>
            <w:pPr>
              <w:widowControl/>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附件1</w:t>
            </w:r>
          </w:p>
          <w:p>
            <w:pPr>
              <w:widowControl/>
              <w:jc w:val="center"/>
              <w:rPr>
                <w:rFonts w:ascii="宋体" w:hAnsi="宋体" w:cs="宋体"/>
                <w:b/>
                <w:bCs/>
                <w:kern w:val="0"/>
                <w:sz w:val="44"/>
                <w:szCs w:val="44"/>
              </w:rPr>
            </w:pPr>
            <w:r>
              <w:rPr>
                <w:rFonts w:hint="eastAsia" w:ascii="宋体" w:hAnsi="宋体" w:cs="宋体"/>
                <w:b/>
                <w:bCs/>
                <w:kern w:val="0"/>
                <w:sz w:val="44"/>
                <w:szCs w:val="44"/>
              </w:rPr>
              <w:t>北京办事处的稽核内容及标准</w:t>
            </w:r>
          </w:p>
        </w:tc>
      </w:tr>
      <w:tr>
        <w:tblPrEx>
          <w:tblLayout w:type="fixed"/>
          <w:tblCellMar>
            <w:top w:w="0" w:type="dxa"/>
            <w:left w:w="108" w:type="dxa"/>
            <w:bottom w:w="0" w:type="dxa"/>
            <w:right w:w="108" w:type="dxa"/>
          </w:tblCellMar>
        </w:tblPrEx>
        <w:trPr>
          <w:trHeight w:val="90" w:hRule="atLeast"/>
          <w:jc w:val="center"/>
        </w:trPr>
        <w:tc>
          <w:tcPr>
            <w:tcW w:w="10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内 容</w:t>
            </w:r>
          </w:p>
        </w:tc>
        <w:tc>
          <w:tcPr>
            <w:tcW w:w="130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标 </w:t>
            </w:r>
            <w:r>
              <w:rPr>
                <w:rFonts w:hint="eastAsia" w:ascii="宋体" w:hAnsi="宋体" w:cs="宋体"/>
                <w:b/>
                <w:bCs/>
                <w:kern w:val="0"/>
                <w:sz w:val="28"/>
                <w:szCs w:val="28"/>
              </w:rPr>
              <w:t xml:space="preserve">      准</w:t>
            </w:r>
          </w:p>
        </w:tc>
      </w:tr>
      <w:tr>
        <w:tblPrEx>
          <w:tblLayout w:type="fixed"/>
          <w:tblCellMar>
            <w:top w:w="0" w:type="dxa"/>
            <w:left w:w="108" w:type="dxa"/>
            <w:bottom w:w="0" w:type="dxa"/>
            <w:right w:w="108" w:type="dxa"/>
          </w:tblCellMar>
        </w:tblPrEx>
        <w:trPr>
          <w:trHeight w:val="761" w:hRule="atLeast"/>
          <w:jc w:val="center"/>
        </w:trPr>
        <w:tc>
          <w:tcPr>
            <w:tcW w:w="1071"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ascii="宋体" w:hAnsi="宋体" w:cs="宋体"/>
                <w:kern w:val="0"/>
                <w:sz w:val="22"/>
              </w:rPr>
            </w:pPr>
            <w:r>
              <w:rPr>
                <w:rFonts w:hint="eastAsia" w:ascii="宋体" w:hAnsi="宋体" w:cs="宋体"/>
                <w:kern w:val="0"/>
                <w:sz w:val="22"/>
              </w:rPr>
              <w:t>组  织       机  构       管  理</w:t>
            </w:r>
          </w:p>
        </w:tc>
        <w:tc>
          <w:tcPr>
            <w:tcW w:w="13000" w:type="dxa"/>
            <w:tcBorders>
              <w:top w:val="nil"/>
              <w:left w:val="nil"/>
              <w:bottom w:val="single" w:color="auto" w:sz="4" w:space="0"/>
              <w:right w:val="single" w:color="auto" w:sz="4" w:space="0"/>
            </w:tcBorders>
            <w:shd w:val="clear" w:color="auto" w:fill="auto"/>
            <w:noWrap w:val="0"/>
            <w:vAlign w:val="center"/>
          </w:tcPr>
          <w:p>
            <w:pPr>
              <w:jc w:val="left"/>
            </w:pPr>
            <w:r>
              <w:rPr>
                <w:rFonts w:hint="eastAsia"/>
              </w:rPr>
              <w:t>建立管委会主任负责制，由管委会主任、代办处主任及经办人员（专/兼职）组成，并将登记证、聘书等存档保存，建立代办处管理办法。</w:t>
            </w:r>
          </w:p>
        </w:tc>
      </w:tr>
      <w:tr>
        <w:tblPrEx>
          <w:tblLayout w:type="fixed"/>
          <w:tblCellMar>
            <w:top w:w="0" w:type="dxa"/>
            <w:left w:w="108" w:type="dxa"/>
            <w:bottom w:w="0" w:type="dxa"/>
            <w:right w:w="108" w:type="dxa"/>
          </w:tblCellMar>
        </w:tblPrEx>
        <w:trPr>
          <w:trHeight w:val="761" w:hRule="atLeast"/>
          <w:jc w:val="center"/>
        </w:trPr>
        <w:tc>
          <w:tcPr>
            <w:tcW w:w="1071"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nil"/>
              <w:left w:val="nil"/>
              <w:bottom w:val="single" w:color="auto" w:sz="4" w:space="0"/>
              <w:right w:val="single" w:color="auto" w:sz="4" w:space="0"/>
            </w:tcBorders>
            <w:shd w:val="clear" w:color="auto" w:fill="auto"/>
            <w:noWrap w:val="0"/>
            <w:vAlign w:val="center"/>
          </w:tcPr>
          <w:p>
            <w:pPr>
              <w:jc w:val="left"/>
            </w:pPr>
            <w:r>
              <w:rPr>
                <w:rFonts w:hint="eastAsia"/>
              </w:rPr>
              <w:t>代办处管委会主任定期听取代办处的工作汇报，监督、检查年度计划的完成情况，对代办处在工作中遇到的问题及时发现，并研究解决，有会议记录。</w:t>
            </w:r>
          </w:p>
        </w:tc>
      </w:tr>
      <w:tr>
        <w:tblPrEx>
          <w:tblLayout w:type="fixed"/>
          <w:tblCellMar>
            <w:top w:w="0" w:type="dxa"/>
            <w:left w:w="108" w:type="dxa"/>
            <w:bottom w:w="0" w:type="dxa"/>
            <w:right w:w="108" w:type="dxa"/>
          </w:tblCellMar>
        </w:tblPrEx>
        <w:trPr>
          <w:trHeight w:val="761" w:hRule="atLeast"/>
          <w:jc w:val="center"/>
        </w:trPr>
        <w:tc>
          <w:tcPr>
            <w:tcW w:w="1071"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nil"/>
              <w:left w:val="nil"/>
              <w:bottom w:val="single" w:color="auto" w:sz="4" w:space="0"/>
              <w:right w:val="single" w:color="auto" w:sz="4" w:space="0"/>
            </w:tcBorders>
            <w:shd w:val="clear" w:color="auto" w:fill="auto"/>
            <w:noWrap w:val="0"/>
            <w:vAlign w:val="center"/>
          </w:tcPr>
          <w:p>
            <w:pPr>
              <w:jc w:val="left"/>
            </w:pPr>
            <w:r>
              <w:rPr>
                <w:rFonts w:hint="eastAsia"/>
              </w:rPr>
              <w:t>将职工互助保障工作纳入工会工作的议事日程，定期研究、部署和总结互助保障工作两次及以上。</w:t>
            </w:r>
          </w:p>
        </w:tc>
      </w:tr>
      <w:tr>
        <w:tblPrEx>
          <w:tblLayout w:type="fixed"/>
          <w:tblCellMar>
            <w:top w:w="0" w:type="dxa"/>
            <w:left w:w="108" w:type="dxa"/>
            <w:bottom w:w="0" w:type="dxa"/>
            <w:right w:w="108" w:type="dxa"/>
          </w:tblCellMar>
        </w:tblPrEx>
        <w:trPr>
          <w:trHeight w:val="761" w:hRule="atLeast"/>
          <w:jc w:val="center"/>
        </w:trPr>
        <w:tc>
          <w:tcPr>
            <w:tcW w:w="1071"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nil"/>
              <w:left w:val="nil"/>
              <w:bottom w:val="single" w:color="auto" w:sz="4" w:space="0"/>
              <w:right w:val="single" w:color="auto" w:sz="4" w:space="0"/>
            </w:tcBorders>
            <w:shd w:val="clear" w:color="auto" w:fill="auto"/>
            <w:noWrap w:val="0"/>
            <w:vAlign w:val="center"/>
          </w:tcPr>
          <w:p>
            <w:pPr>
              <w:jc w:val="left"/>
            </w:pPr>
            <w:r>
              <w:rPr>
                <w:rFonts w:hint="eastAsia"/>
              </w:rPr>
              <w:t>按时参加办事处的各项会议、培训，认真贯彻总会、市总及办事处的各项文件精神，严格执行各项文件规定。</w:t>
            </w:r>
          </w:p>
        </w:tc>
      </w:tr>
      <w:tr>
        <w:tblPrEx>
          <w:tblLayout w:type="fixed"/>
          <w:tblCellMar>
            <w:top w:w="0" w:type="dxa"/>
            <w:left w:w="108" w:type="dxa"/>
            <w:bottom w:w="0" w:type="dxa"/>
            <w:right w:w="108" w:type="dxa"/>
          </w:tblCellMar>
        </w:tblPrEx>
        <w:trPr>
          <w:trHeight w:val="761" w:hRule="atLeast"/>
          <w:jc w:val="center"/>
        </w:trPr>
        <w:tc>
          <w:tcPr>
            <w:tcW w:w="1071"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nil"/>
              <w:left w:val="nil"/>
              <w:bottom w:val="single" w:color="auto" w:sz="4" w:space="0"/>
              <w:right w:val="single" w:color="auto" w:sz="4" w:space="0"/>
            </w:tcBorders>
            <w:shd w:val="clear" w:color="auto" w:fill="auto"/>
            <w:noWrap w:val="0"/>
            <w:vAlign w:val="center"/>
          </w:tcPr>
          <w:p>
            <w:pPr>
              <w:jc w:val="left"/>
            </w:pPr>
            <w:r>
              <w:rPr>
                <w:rFonts w:hint="eastAsia"/>
              </w:rPr>
              <w:t>建立健全代办处各项规章制度、自查机制等。</w:t>
            </w:r>
          </w:p>
        </w:tc>
      </w:tr>
      <w:tr>
        <w:tblPrEx>
          <w:tblLayout w:type="fixed"/>
          <w:tblCellMar>
            <w:top w:w="0" w:type="dxa"/>
            <w:left w:w="108" w:type="dxa"/>
            <w:bottom w:w="0" w:type="dxa"/>
            <w:right w:w="108" w:type="dxa"/>
          </w:tblCellMar>
        </w:tblPrEx>
        <w:trPr>
          <w:trHeight w:val="761" w:hRule="atLeast"/>
          <w:jc w:val="center"/>
        </w:trPr>
        <w:tc>
          <w:tcPr>
            <w:tcW w:w="1071"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nil"/>
              <w:left w:val="nil"/>
              <w:bottom w:val="single" w:color="auto" w:sz="4" w:space="0"/>
              <w:right w:val="single" w:color="auto" w:sz="4" w:space="0"/>
            </w:tcBorders>
            <w:shd w:val="clear" w:color="auto" w:fill="auto"/>
            <w:noWrap w:val="0"/>
            <w:vAlign w:val="center"/>
          </w:tcPr>
          <w:p>
            <w:pPr>
              <w:jc w:val="left"/>
            </w:pPr>
            <w:r>
              <w:rPr>
                <w:rFonts w:hint="eastAsia"/>
              </w:rPr>
              <w:t>全总、市总及办事处的所有文件，按年度、按类别装订成册并保存。</w:t>
            </w:r>
          </w:p>
        </w:tc>
      </w:tr>
      <w:tr>
        <w:tblPrEx>
          <w:tblLayout w:type="fixed"/>
          <w:tblCellMar>
            <w:top w:w="0" w:type="dxa"/>
            <w:left w:w="108" w:type="dxa"/>
            <w:bottom w:w="0" w:type="dxa"/>
            <w:right w:w="108" w:type="dxa"/>
          </w:tblCellMar>
        </w:tblPrEx>
        <w:trPr>
          <w:trHeight w:val="761" w:hRule="atLeast"/>
          <w:jc w:val="center"/>
        </w:trPr>
        <w:tc>
          <w:tcPr>
            <w:tcW w:w="1071"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nil"/>
              <w:left w:val="nil"/>
              <w:bottom w:val="single" w:color="auto" w:sz="4" w:space="0"/>
              <w:right w:val="single" w:color="auto" w:sz="4" w:space="0"/>
            </w:tcBorders>
            <w:shd w:val="clear" w:color="auto" w:fill="auto"/>
            <w:noWrap w:val="0"/>
            <w:vAlign w:val="center"/>
          </w:tcPr>
          <w:p>
            <w:pPr>
              <w:jc w:val="left"/>
            </w:pPr>
            <w:r>
              <w:rPr>
                <w:rFonts w:hint="eastAsia"/>
              </w:rPr>
              <w:t>代办处人员、通讯方式的变更信息要及时上报，人员变化应有交接记录；经办人员登录系统天数间隔不高于180天。</w:t>
            </w:r>
          </w:p>
        </w:tc>
      </w:tr>
      <w:tr>
        <w:tblPrEx>
          <w:tblLayout w:type="fixed"/>
          <w:tblCellMar>
            <w:top w:w="0" w:type="dxa"/>
            <w:left w:w="108" w:type="dxa"/>
            <w:bottom w:w="0" w:type="dxa"/>
            <w:right w:w="108" w:type="dxa"/>
          </w:tblCellMar>
        </w:tblPrEx>
        <w:trPr>
          <w:trHeight w:val="971" w:hRule="atLeast"/>
          <w:jc w:val="center"/>
        </w:trPr>
        <w:tc>
          <w:tcPr>
            <w:tcW w:w="1071"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nil"/>
              <w:left w:val="nil"/>
              <w:bottom w:val="single" w:color="auto" w:sz="4" w:space="0"/>
              <w:right w:val="single" w:color="auto" w:sz="4" w:space="0"/>
            </w:tcBorders>
            <w:shd w:val="clear" w:color="auto" w:fill="auto"/>
            <w:noWrap w:val="0"/>
            <w:vAlign w:val="center"/>
          </w:tcPr>
          <w:p>
            <w:pPr>
              <w:jc w:val="left"/>
            </w:pPr>
            <w:r>
              <w:rPr>
                <w:rFonts w:hint="eastAsia"/>
              </w:rPr>
              <w:t>按照信息安全管理制度使用《业务系统用户名变更表》和《业务系统用户名备案表》，做好用户名信息安全管理工作、信息保密工作。</w:t>
            </w:r>
          </w:p>
        </w:tc>
      </w:tr>
      <w:tr>
        <w:tblPrEx>
          <w:tblLayout w:type="fixed"/>
          <w:tblCellMar>
            <w:top w:w="0" w:type="dxa"/>
            <w:left w:w="108" w:type="dxa"/>
            <w:bottom w:w="0" w:type="dxa"/>
            <w:right w:w="108" w:type="dxa"/>
          </w:tblCellMar>
        </w:tblPrEx>
        <w:trPr>
          <w:trHeight w:val="573" w:hRule="atLeast"/>
          <w:jc w:val="center"/>
        </w:trPr>
        <w:tc>
          <w:tcPr>
            <w:tcW w:w="1071"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ascii="宋体" w:hAnsi="宋体" w:cs="宋体"/>
                <w:kern w:val="0"/>
                <w:sz w:val="22"/>
              </w:rPr>
            </w:pPr>
          </w:p>
          <w:p>
            <w:pPr>
              <w:widowControl/>
              <w:jc w:val="center"/>
              <w:rPr>
                <w:rFonts w:ascii="宋体" w:hAnsi="宋体" w:cs="宋体"/>
                <w:kern w:val="0"/>
                <w:sz w:val="22"/>
              </w:rPr>
            </w:pPr>
          </w:p>
          <w:p>
            <w:pPr>
              <w:widowControl/>
              <w:jc w:val="center"/>
              <w:rPr>
                <w:rFonts w:ascii="宋体" w:hAnsi="宋体" w:cs="宋体"/>
                <w:kern w:val="0"/>
                <w:sz w:val="22"/>
              </w:rPr>
            </w:pPr>
          </w:p>
          <w:p>
            <w:pPr>
              <w:widowControl/>
              <w:jc w:val="center"/>
              <w:rPr>
                <w:rFonts w:ascii="宋体" w:hAnsi="宋体" w:cs="宋体"/>
                <w:kern w:val="0"/>
                <w:sz w:val="22"/>
              </w:rPr>
            </w:pPr>
            <w:r>
              <w:rPr>
                <w:rFonts w:hint="eastAsia" w:ascii="宋体" w:hAnsi="宋体" w:cs="宋体"/>
                <w:kern w:val="0"/>
                <w:sz w:val="22"/>
              </w:rPr>
              <w:t>业  务</w:t>
            </w:r>
          </w:p>
          <w:p>
            <w:pPr>
              <w:widowControl/>
              <w:jc w:val="center"/>
              <w:rPr>
                <w:rFonts w:ascii="宋体" w:hAnsi="宋体" w:cs="宋体"/>
                <w:kern w:val="0"/>
                <w:sz w:val="22"/>
              </w:rPr>
            </w:pPr>
          </w:p>
          <w:p>
            <w:pPr>
              <w:widowControl/>
              <w:jc w:val="center"/>
              <w:rPr>
                <w:rFonts w:ascii="宋体" w:hAnsi="宋体" w:cs="宋体"/>
                <w:kern w:val="0"/>
                <w:sz w:val="22"/>
              </w:rPr>
            </w:pPr>
          </w:p>
          <w:p>
            <w:pPr>
              <w:widowControl/>
              <w:jc w:val="center"/>
              <w:rPr>
                <w:rFonts w:ascii="宋体" w:hAnsi="宋体" w:cs="宋体"/>
                <w:kern w:val="0"/>
                <w:sz w:val="22"/>
              </w:rPr>
            </w:pPr>
          </w:p>
          <w:p>
            <w:pPr>
              <w:widowControl/>
              <w:jc w:val="center"/>
              <w:rPr>
                <w:rFonts w:ascii="宋体" w:hAnsi="宋体" w:cs="宋体"/>
                <w:kern w:val="0"/>
                <w:sz w:val="22"/>
              </w:rPr>
            </w:pPr>
          </w:p>
          <w:p>
            <w:pPr>
              <w:widowControl/>
              <w:jc w:val="center"/>
              <w:rPr>
                <w:rFonts w:ascii="宋体" w:hAnsi="宋体" w:cs="宋体"/>
                <w:kern w:val="0"/>
                <w:sz w:val="22"/>
              </w:rPr>
            </w:pPr>
          </w:p>
          <w:p>
            <w:pPr>
              <w:widowControl/>
              <w:jc w:val="center"/>
              <w:rPr>
                <w:rFonts w:ascii="宋体" w:hAnsi="宋体" w:cs="宋体"/>
                <w:kern w:val="0"/>
                <w:sz w:val="22"/>
              </w:rPr>
            </w:pPr>
            <w:r>
              <w:rPr>
                <w:rFonts w:hint="eastAsia" w:ascii="宋体" w:hAnsi="宋体" w:cs="宋体"/>
                <w:kern w:val="0"/>
                <w:sz w:val="22"/>
              </w:rPr>
              <w:t>管  理</w:t>
            </w:r>
          </w:p>
        </w:tc>
        <w:tc>
          <w:tcPr>
            <w:tcW w:w="13000" w:type="dxa"/>
            <w:tcBorders>
              <w:top w:val="single" w:color="auto" w:sz="4" w:space="0"/>
              <w:left w:val="nil"/>
              <w:bottom w:val="single" w:color="auto" w:sz="4" w:space="0"/>
              <w:right w:val="single" w:color="auto" w:sz="4" w:space="0"/>
            </w:tcBorders>
            <w:shd w:val="clear" w:color="auto" w:fill="auto"/>
            <w:noWrap w:val="0"/>
            <w:vAlign w:val="center"/>
          </w:tcPr>
          <w:p>
            <w:pPr>
              <w:jc w:val="left"/>
            </w:pPr>
            <w:r>
              <w:rPr>
                <w:rFonts w:hint="eastAsia"/>
              </w:rPr>
              <w:t>正确、熟练使用业务系统软件；规范进行会员的调入调出。</w:t>
            </w:r>
          </w:p>
        </w:tc>
      </w:tr>
      <w:tr>
        <w:tblPrEx>
          <w:tblLayout w:type="fixed"/>
          <w:tblCellMar>
            <w:top w:w="0" w:type="dxa"/>
            <w:left w:w="108" w:type="dxa"/>
            <w:bottom w:w="0" w:type="dxa"/>
            <w:right w:w="108" w:type="dxa"/>
          </w:tblCellMar>
        </w:tblPrEx>
        <w:trPr>
          <w:trHeight w:val="630" w:hRule="atLeast"/>
          <w:jc w:val="center"/>
        </w:trPr>
        <w:tc>
          <w:tcPr>
            <w:tcW w:w="1071"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single" w:color="auto" w:sz="4" w:space="0"/>
              <w:left w:val="nil"/>
              <w:bottom w:val="single" w:color="auto" w:sz="4" w:space="0"/>
              <w:right w:val="single" w:color="auto" w:sz="4" w:space="0"/>
            </w:tcBorders>
            <w:shd w:val="clear" w:color="auto" w:fill="auto"/>
            <w:noWrap w:val="0"/>
            <w:vAlign w:val="center"/>
          </w:tcPr>
          <w:p>
            <w:pPr>
              <w:jc w:val="left"/>
            </w:pPr>
            <w:r>
              <w:rPr>
                <w:rFonts w:hint="eastAsia"/>
              </w:rPr>
              <w:t>按时做好投保、续转工作，流程规范；确保投保单位的真实性，使职工互助保障工作健康有序发展。</w:t>
            </w:r>
          </w:p>
        </w:tc>
      </w:tr>
      <w:tr>
        <w:tblPrEx>
          <w:tblLayout w:type="fixed"/>
          <w:tblCellMar>
            <w:top w:w="0" w:type="dxa"/>
            <w:left w:w="108" w:type="dxa"/>
            <w:bottom w:w="0" w:type="dxa"/>
            <w:right w:w="108" w:type="dxa"/>
          </w:tblCellMar>
        </w:tblPrEx>
        <w:trPr>
          <w:trHeight w:val="588" w:hRule="atLeast"/>
          <w:jc w:val="center"/>
        </w:trPr>
        <w:tc>
          <w:tcPr>
            <w:tcW w:w="1071"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single" w:color="auto" w:sz="4" w:space="0"/>
              <w:left w:val="nil"/>
              <w:bottom w:val="single" w:color="auto" w:sz="4" w:space="0"/>
              <w:right w:val="single" w:color="auto" w:sz="4" w:space="0"/>
            </w:tcBorders>
            <w:shd w:val="clear" w:color="auto" w:fill="auto"/>
            <w:noWrap w:val="0"/>
            <w:vAlign w:val="center"/>
          </w:tcPr>
          <w:p>
            <w:pPr>
              <w:jc w:val="left"/>
            </w:pPr>
            <w:r>
              <w:rPr>
                <w:rFonts w:hint="eastAsia"/>
              </w:rPr>
              <w:t>做好理赔工作，建立内部报案登记薄，正确录入业务操作系统，理赔资料真实、齐全。</w:t>
            </w:r>
          </w:p>
        </w:tc>
      </w:tr>
      <w:tr>
        <w:tblPrEx>
          <w:tblLayout w:type="fixed"/>
          <w:tblCellMar>
            <w:top w:w="0" w:type="dxa"/>
            <w:left w:w="108" w:type="dxa"/>
            <w:bottom w:w="0" w:type="dxa"/>
            <w:right w:w="108" w:type="dxa"/>
          </w:tblCellMar>
        </w:tblPrEx>
        <w:trPr>
          <w:trHeight w:val="578" w:hRule="atLeast"/>
          <w:jc w:val="center"/>
        </w:trPr>
        <w:tc>
          <w:tcPr>
            <w:tcW w:w="1071"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single" w:color="auto" w:sz="4" w:space="0"/>
              <w:left w:val="nil"/>
              <w:bottom w:val="single" w:color="auto" w:sz="4" w:space="0"/>
              <w:right w:val="single" w:color="auto" w:sz="4" w:space="0"/>
            </w:tcBorders>
            <w:shd w:val="clear" w:color="auto" w:fill="auto"/>
            <w:noWrap w:val="0"/>
            <w:vAlign w:val="center"/>
          </w:tcPr>
          <w:p>
            <w:pPr>
              <w:jc w:val="left"/>
            </w:pPr>
            <w:r>
              <w:rPr>
                <w:rFonts w:hint="eastAsia"/>
              </w:rPr>
              <w:t>定期导出统计报表，核对投保、理赔业务数据，保证办事处、基层单位，数据上下一致，保证各项资金准确无误。</w:t>
            </w:r>
          </w:p>
        </w:tc>
      </w:tr>
      <w:tr>
        <w:tblPrEx>
          <w:tblLayout w:type="fixed"/>
          <w:tblCellMar>
            <w:top w:w="0" w:type="dxa"/>
            <w:left w:w="108" w:type="dxa"/>
            <w:bottom w:w="0" w:type="dxa"/>
            <w:right w:w="108" w:type="dxa"/>
          </w:tblCellMar>
        </w:tblPrEx>
        <w:trPr>
          <w:trHeight w:val="769" w:hRule="atLeast"/>
          <w:jc w:val="center"/>
        </w:trPr>
        <w:tc>
          <w:tcPr>
            <w:tcW w:w="1071"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single" w:color="auto" w:sz="4" w:space="0"/>
              <w:left w:val="nil"/>
              <w:bottom w:val="single" w:color="auto" w:sz="4" w:space="0"/>
              <w:right w:val="single" w:color="auto" w:sz="4" w:space="0"/>
            </w:tcBorders>
            <w:shd w:val="clear" w:color="auto" w:fill="auto"/>
            <w:noWrap w:val="0"/>
            <w:vAlign w:val="center"/>
          </w:tcPr>
          <w:p>
            <w:pPr>
              <w:jc w:val="left"/>
            </w:pPr>
            <w:r>
              <w:rPr>
                <w:rFonts w:hint="eastAsia"/>
              </w:rPr>
              <w:t>规范业务档案管理，业务档案由专人负责，分类妥善保存。参加数字化业务档案查询服务工作的代办处数据管理严格遵守数字化业务档案查询服务工作办法。</w:t>
            </w:r>
          </w:p>
        </w:tc>
      </w:tr>
      <w:tr>
        <w:tblPrEx>
          <w:tblLayout w:type="fixed"/>
          <w:tblCellMar>
            <w:top w:w="0" w:type="dxa"/>
            <w:left w:w="108" w:type="dxa"/>
            <w:bottom w:w="0" w:type="dxa"/>
            <w:right w:w="108" w:type="dxa"/>
          </w:tblCellMar>
        </w:tblPrEx>
        <w:trPr>
          <w:trHeight w:val="632" w:hRule="atLeast"/>
          <w:jc w:val="center"/>
        </w:trPr>
        <w:tc>
          <w:tcPr>
            <w:tcW w:w="1071"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single" w:color="auto" w:sz="4" w:space="0"/>
              <w:left w:val="nil"/>
              <w:bottom w:val="single" w:color="auto" w:sz="4" w:space="0"/>
              <w:right w:val="single" w:color="auto" w:sz="4" w:space="0"/>
            </w:tcBorders>
            <w:shd w:val="clear" w:color="auto" w:fill="auto"/>
            <w:noWrap w:val="0"/>
            <w:vAlign w:val="center"/>
          </w:tcPr>
          <w:p>
            <w:pPr>
              <w:jc w:val="left"/>
            </w:pPr>
            <w:r>
              <w:rPr>
                <w:rFonts w:hint="eastAsia"/>
              </w:rPr>
              <w:t>医疗类理赔加强无纸化APP申报工作，协助职工完成符合APP申报条件的理赔；业务系统理赔基层单位保存资料保证真实有效齐全。</w:t>
            </w:r>
          </w:p>
        </w:tc>
      </w:tr>
      <w:tr>
        <w:tblPrEx>
          <w:tblLayout w:type="fixed"/>
          <w:tblCellMar>
            <w:top w:w="0" w:type="dxa"/>
            <w:left w:w="108" w:type="dxa"/>
            <w:bottom w:w="0" w:type="dxa"/>
            <w:right w:w="108" w:type="dxa"/>
          </w:tblCellMar>
        </w:tblPrEx>
        <w:trPr>
          <w:trHeight w:val="801" w:hRule="atLeast"/>
          <w:jc w:val="center"/>
        </w:trPr>
        <w:tc>
          <w:tcPr>
            <w:tcW w:w="1071"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single" w:color="auto" w:sz="4" w:space="0"/>
              <w:left w:val="nil"/>
              <w:bottom w:val="single" w:color="auto" w:sz="4" w:space="0"/>
              <w:right w:val="single" w:color="auto" w:sz="4" w:space="0"/>
            </w:tcBorders>
            <w:shd w:val="clear" w:color="auto" w:fill="auto"/>
            <w:noWrap w:val="0"/>
            <w:vAlign w:val="center"/>
          </w:tcPr>
          <w:p>
            <w:pPr>
              <w:jc w:val="left"/>
            </w:pPr>
            <w:r>
              <w:rPr>
                <w:rFonts w:hint="eastAsia"/>
              </w:rPr>
              <w:t>做好业务统计分析，提高经办人员业务能力，定期组织业务培训全年不少于两次，以工作信息形式向办事处报送。</w:t>
            </w:r>
          </w:p>
        </w:tc>
      </w:tr>
      <w:tr>
        <w:tblPrEx>
          <w:tblLayout w:type="fixed"/>
          <w:tblCellMar>
            <w:top w:w="0" w:type="dxa"/>
            <w:left w:w="108" w:type="dxa"/>
            <w:bottom w:w="0" w:type="dxa"/>
            <w:right w:w="108" w:type="dxa"/>
          </w:tblCellMar>
        </w:tblPrEx>
        <w:trPr>
          <w:trHeight w:val="756" w:hRule="atLeast"/>
          <w:jc w:val="center"/>
        </w:trPr>
        <w:tc>
          <w:tcPr>
            <w:tcW w:w="1071"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s="Times New Roman"/>
                <w:kern w:val="2"/>
                <w:sz w:val="21"/>
                <w:szCs w:val="24"/>
                <w:lang w:val="en-US" w:eastAsia="zh-CN" w:bidi="ar-SA"/>
              </w:rPr>
            </w:pPr>
            <w:r>
              <w:rPr>
                <w:rFonts w:hint="eastAsia"/>
              </w:rPr>
              <w:t>积极向会员宣传各项互助保障计划，提高互助保障工作在职工中的知晓度。扩大职工互助保障覆盖面，发展新会员，寻找增长点，消灭空白点。</w:t>
            </w:r>
          </w:p>
        </w:tc>
      </w:tr>
      <w:tr>
        <w:tblPrEx>
          <w:tblLayout w:type="fixed"/>
          <w:tblCellMar>
            <w:top w:w="0" w:type="dxa"/>
            <w:left w:w="108" w:type="dxa"/>
            <w:bottom w:w="0" w:type="dxa"/>
            <w:right w:w="108" w:type="dxa"/>
          </w:tblCellMar>
        </w:tblPrEx>
        <w:trPr>
          <w:trHeight w:val="745" w:hRule="atLeast"/>
          <w:jc w:val="center"/>
        </w:trPr>
        <w:tc>
          <w:tcPr>
            <w:tcW w:w="1071"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21"/>
                <w:szCs w:val="24"/>
                <w:lang w:val="en-US" w:eastAsia="zh-CN" w:bidi="ar-SA"/>
              </w:rPr>
            </w:pPr>
            <w:r>
              <w:rPr>
                <w:rFonts w:hint="eastAsia"/>
              </w:rPr>
              <w:t>积极向职工推广使用互助保障微信公众平台，提高互助保障的关注度和知晓率，提高服务职工的能力和水平。</w:t>
            </w:r>
          </w:p>
        </w:tc>
      </w:tr>
      <w:tr>
        <w:tblPrEx>
          <w:tblLayout w:type="fixed"/>
          <w:tblCellMar>
            <w:top w:w="0" w:type="dxa"/>
            <w:left w:w="108" w:type="dxa"/>
            <w:bottom w:w="0" w:type="dxa"/>
            <w:right w:w="108" w:type="dxa"/>
          </w:tblCellMar>
        </w:tblPrEx>
        <w:trPr>
          <w:trHeight w:val="962" w:hRule="atLeast"/>
          <w:jc w:val="center"/>
        </w:trPr>
        <w:tc>
          <w:tcPr>
            <w:tcW w:w="1071"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hint="eastAsia" w:ascii="Times New Roman" w:hAnsi="Times New Roman" w:eastAsia="宋体" w:cs="Times New Roman"/>
                <w:kern w:val="2"/>
                <w:sz w:val="21"/>
                <w:szCs w:val="24"/>
                <w:lang w:val="en-US" w:eastAsia="zh-CN" w:bidi="ar-SA"/>
              </w:rPr>
            </w:pPr>
            <w:r>
              <w:rPr>
                <w:rFonts w:hint="eastAsia"/>
              </w:rPr>
              <w:t>依据总会和市总的机关文件精神，医疗互助、重大疾病互助、意外伤害互助“三位一体”的职工互助保障目标完成情况。</w:t>
            </w:r>
          </w:p>
        </w:tc>
      </w:tr>
      <w:tr>
        <w:tblPrEx>
          <w:tblLayout w:type="fixed"/>
          <w:tblCellMar>
            <w:top w:w="0" w:type="dxa"/>
            <w:left w:w="108" w:type="dxa"/>
            <w:bottom w:w="0" w:type="dxa"/>
            <w:right w:w="108" w:type="dxa"/>
          </w:tblCellMar>
        </w:tblPrEx>
        <w:trPr>
          <w:trHeight w:val="1067" w:hRule="atLeast"/>
          <w:jc w:val="center"/>
        </w:trPr>
        <w:tc>
          <w:tcPr>
            <w:tcW w:w="1071"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single" w:color="auto" w:sz="4" w:space="0"/>
              <w:left w:val="nil"/>
              <w:bottom w:val="single" w:color="auto" w:sz="4" w:space="0"/>
              <w:right w:val="single" w:color="auto" w:sz="4" w:space="0"/>
            </w:tcBorders>
            <w:shd w:val="clear" w:color="auto" w:fill="auto"/>
            <w:noWrap w:val="0"/>
            <w:vAlign w:val="center"/>
          </w:tcPr>
          <w:p>
            <w:pPr>
              <w:jc w:val="left"/>
              <w:rPr>
                <w:rFonts w:ascii="Times New Roman" w:hAnsi="Times New Roman" w:eastAsia="宋体" w:cs="Times New Roman"/>
                <w:kern w:val="2"/>
                <w:sz w:val="21"/>
                <w:szCs w:val="24"/>
                <w:lang w:val="en-US" w:eastAsia="zh-CN" w:bidi="ar-SA"/>
              </w:rPr>
            </w:pPr>
            <w:r>
              <w:rPr>
                <w:rFonts w:hint="eastAsia"/>
              </w:rPr>
              <w:t>充分利用办事处门户网站，宣传报道代办处的工作方法和工作经验，积极向办事处投稿，每年不少于2篇。</w:t>
            </w:r>
          </w:p>
        </w:tc>
      </w:tr>
      <w:tr>
        <w:tblPrEx>
          <w:tblLayout w:type="fixed"/>
          <w:tblCellMar>
            <w:top w:w="0" w:type="dxa"/>
            <w:left w:w="108" w:type="dxa"/>
            <w:bottom w:w="0" w:type="dxa"/>
            <w:right w:w="108" w:type="dxa"/>
          </w:tblCellMar>
        </w:tblPrEx>
        <w:trPr>
          <w:trHeight w:val="771" w:hRule="atLeast"/>
          <w:jc w:val="center"/>
        </w:trPr>
        <w:tc>
          <w:tcPr>
            <w:tcW w:w="1071"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ascii="宋体" w:hAnsi="宋体" w:cs="宋体"/>
                <w:kern w:val="0"/>
                <w:sz w:val="22"/>
              </w:rPr>
            </w:pPr>
            <w:r>
              <w:rPr>
                <w:rFonts w:hint="eastAsia" w:ascii="宋体" w:hAnsi="宋体" w:cs="宋体"/>
                <w:kern w:val="0"/>
                <w:sz w:val="22"/>
              </w:rPr>
              <w:t>财  务             管  理</w:t>
            </w:r>
          </w:p>
        </w:tc>
        <w:tc>
          <w:tcPr>
            <w:tcW w:w="1300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遵守《会计法》、《北京办事处财务管理办法》等有关财务的法律法规，并制定代办处内部财务制度。</w:t>
            </w:r>
          </w:p>
        </w:tc>
      </w:tr>
      <w:tr>
        <w:tblPrEx>
          <w:tblLayout w:type="fixed"/>
          <w:tblCellMar>
            <w:top w:w="0" w:type="dxa"/>
            <w:left w:w="108" w:type="dxa"/>
            <w:bottom w:w="0" w:type="dxa"/>
            <w:right w:w="108" w:type="dxa"/>
          </w:tblCellMar>
        </w:tblPrEx>
        <w:trPr>
          <w:trHeight w:val="771" w:hRule="atLeast"/>
          <w:jc w:val="center"/>
        </w:trPr>
        <w:tc>
          <w:tcPr>
            <w:tcW w:w="1071"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按照《中国职工保险互助会北京办事处代办处会计核算办法（暂行）》的规定进行核算。</w:t>
            </w:r>
          </w:p>
        </w:tc>
      </w:tr>
      <w:tr>
        <w:tblPrEx>
          <w:tblLayout w:type="fixed"/>
          <w:tblCellMar>
            <w:top w:w="0" w:type="dxa"/>
            <w:left w:w="108" w:type="dxa"/>
            <w:bottom w:w="0" w:type="dxa"/>
            <w:right w:w="108" w:type="dxa"/>
          </w:tblCellMar>
        </w:tblPrEx>
        <w:trPr>
          <w:trHeight w:val="771" w:hRule="atLeast"/>
          <w:jc w:val="center"/>
        </w:trPr>
        <w:tc>
          <w:tcPr>
            <w:tcW w:w="1071"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代办处应按要求分设财务会计和出纳岗位。</w:t>
            </w:r>
          </w:p>
        </w:tc>
      </w:tr>
      <w:tr>
        <w:tblPrEx>
          <w:tblLayout w:type="fixed"/>
          <w:tblCellMar>
            <w:top w:w="0" w:type="dxa"/>
            <w:left w:w="108" w:type="dxa"/>
            <w:bottom w:w="0" w:type="dxa"/>
            <w:right w:w="108" w:type="dxa"/>
          </w:tblCellMar>
        </w:tblPrEx>
        <w:trPr>
          <w:trHeight w:val="771" w:hRule="atLeast"/>
          <w:jc w:val="center"/>
        </w:trPr>
        <w:tc>
          <w:tcPr>
            <w:tcW w:w="1071"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代办处应定期核对财务、业务数据，按时按要求上报报表。</w:t>
            </w:r>
          </w:p>
        </w:tc>
      </w:tr>
      <w:tr>
        <w:tblPrEx>
          <w:tblLayout w:type="fixed"/>
          <w:tblCellMar>
            <w:top w:w="0" w:type="dxa"/>
            <w:left w:w="108" w:type="dxa"/>
            <w:bottom w:w="0" w:type="dxa"/>
            <w:right w:w="108" w:type="dxa"/>
          </w:tblCellMar>
        </w:tblPrEx>
        <w:trPr>
          <w:trHeight w:val="771" w:hRule="atLeast"/>
          <w:jc w:val="center"/>
        </w:trPr>
        <w:tc>
          <w:tcPr>
            <w:tcW w:w="1071"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代办处管理费使用情况,包括管理费使用制度</w:t>
            </w:r>
            <w:r>
              <w:rPr>
                <w:rFonts w:ascii="宋体" w:hAnsi="宋体" w:cs="宋体"/>
                <w:color w:val="000000"/>
                <w:kern w:val="0"/>
                <w:sz w:val="22"/>
              </w:rPr>
              <w:t>、</w:t>
            </w:r>
            <w:r>
              <w:rPr>
                <w:rFonts w:hint="eastAsia" w:ascii="宋体" w:hAnsi="宋体" w:cs="宋体"/>
                <w:color w:val="000000"/>
                <w:kern w:val="0"/>
                <w:sz w:val="22"/>
              </w:rPr>
              <w:t>列支合理性、手续完备性、审批齐全性。固定资产购置、使用和处置等是否合规，大宗商品的采购是否合规。实物资产管理，特别是采购、登记保管、发放等情况。</w:t>
            </w:r>
          </w:p>
        </w:tc>
      </w:tr>
      <w:tr>
        <w:tblPrEx>
          <w:tblLayout w:type="fixed"/>
          <w:tblCellMar>
            <w:top w:w="0" w:type="dxa"/>
            <w:left w:w="108" w:type="dxa"/>
            <w:bottom w:w="0" w:type="dxa"/>
            <w:right w:w="108" w:type="dxa"/>
          </w:tblCellMar>
        </w:tblPrEx>
        <w:trPr>
          <w:trHeight w:val="771" w:hRule="atLeast"/>
          <w:jc w:val="center"/>
        </w:trPr>
        <w:tc>
          <w:tcPr>
            <w:tcW w:w="1071"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会员活动、互助互济开展情况,特别是慰问金的发放是否有相关规定和支付标准，手续是否完备。</w:t>
            </w:r>
          </w:p>
        </w:tc>
      </w:tr>
      <w:tr>
        <w:tblPrEx>
          <w:tblLayout w:type="fixed"/>
          <w:tblCellMar>
            <w:top w:w="0" w:type="dxa"/>
            <w:left w:w="108" w:type="dxa"/>
            <w:bottom w:w="0" w:type="dxa"/>
            <w:right w:w="108" w:type="dxa"/>
          </w:tblCellMar>
        </w:tblPrEx>
        <w:trPr>
          <w:trHeight w:val="1090" w:hRule="atLeast"/>
          <w:jc w:val="center"/>
        </w:trPr>
        <w:tc>
          <w:tcPr>
            <w:tcW w:w="1071"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kern w:val="0"/>
                <w:sz w:val="22"/>
              </w:rPr>
              <w:t>非</w:t>
            </w:r>
            <w:r>
              <w:rPr>
                <w:rFonts w:ascii="宋体" w:hAnsi="宋体" w:cs="宋体"/>
                <w:kern w:val="0"/>
                <w:sz w:val="22"/>
              </w:rPr>
              <w:t>直投</w:t>
            </w:r>
            <w:r>
              <w:rPr>
                <w:rFonts w:hint="eastAsia" w:ascii="宋体" w:hAnsi="宋体" w:cs="宋体"/>
                <w:color w:val="000000"/>
                <w:kern w:val="0"/>
                <w:sz w:val="22"/>
              </w:rPr>
              <w:t>代办处应按照总会统一下发的各保障计划收费标准收取会费，并及时、足额上交至办事处。不得以任何理由和方式截留、挪用资金，不得公款私存、设立账外账，不得为外单位作经济担保。</w:t>
            </w:r>
          </w:p>
        </w:tc>
      </w:tr>
      <w:tr>
        <w:tblPrEx>
          <w:tblLayout w:type="fixed"/>
          <w:tblCellMar>
            <w:top w:w="0" w:type="dxa"/>
            <w:left w:w="108" w:type="dxa"/>
            <w:bottom w:w="0" w:type="dxa"/>
            <w:right w:w="108" w:type="dxa"/>
          </w:tblCellMar>
        </w:tblPrEx>
        <w:trPr>
          <w:trHeight w:val="771" w:hRule="atLeast"/>
          <w:jc w:val="center"/>
        </w:trPr>
        <w:tc>
          <w:tcPr>
            <w:tcW w:w="1071"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预算执行情况</w:t>
            </w:r>
            <w:r>
              <w:rPr>
                <w:rFonts w:ascii="宋体" w:hAnsi="宋体" w:cs="宋体"/>
                <w:color w:val="000000"/>
                <w:kern w:val="0"/>
                <w:sz w:val="22"/>
              </w:rPr>
              <w:t>完成率</w:t>
            </w:r>
            <w:r>
              <w:rPr>
                <w:rFonts w:hint="eastAsia" w:ascii="宋体" w:hAnsi="宋体" w:cs="宋体"/>
                <w:color w:val="000000"/>
                <w:kern w:val="0"/>
                <w:sz w:val="22"/>
              </w:rPr>
              <w:t>高</w:t>
            </w:r>
          </w:p>
        </w:tc>
      </w:tr>
      <w:tr>
        <w:tblPrEx>
          <w:tblLayout w:type="fixed"/>
          <w:tblCellMar>
            <w:top w:w="0" w:type="dxa"/>
            <w:left w:w="108" w:type="dxa"/>
            <w:bottom w:w="0" w:type="dxa"/>
            <w:right w:w="108" w:type="dxa"/>
          </w:tblCellMar>
        </w:tblPrEx>
        <w:trPr>
          <w:trHeight w:val="771" w:hRule="atLeast"/>
          <w:jc w:val="center"/>
        </w:trPr>
        <w:tc>
          <w:tcPr>
            <w:tcW w:w="1071"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按规定管理财务账簿和档案。</w:t>
            </w:r>
          </w:p>
        </w:tc>
      </w:tr>
      <w:tr>
        <w:tblPrEx>
          <w:tblLayout w:type="fixed"/>
          <w:tblCellMar>
            <w:top w:w="0" w:type="dxa"/>
            <w:left w:w="108" w:type="dxa"/>
            <w:bottom w:w="0" w:type="dxa"/>
            <w:right w:w="108" w:type="dxa"/>
          </w:tblCellMar>
        </w:tblPrEx>
        <w:trPr>
          <w:trHeight w:val="771" w:hRule="atLeast"/>
          <w:jc w:val="center"/>
        </w:trPr>
        <w:tc>
          <w:tcPr>
            <w:tcW w:w="1071"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rPr>
            </w:pPr>
          </w:p>
        </w:tc>
        <w:tc>
          <w:tcPr>
            <w:tcW w:w="1300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实行代开票据的代办处应确保开具发票的准确性；“直投”代办处应及时从办事处领取基层单位缴费票据并下发。</w:t>
            </w:r>
          </w:p>
        </w:tc>
      </w:tr>
    </w:tbl>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sectPr>
          <w:pgSz w:w="16838" w:h="11906" w:orient="landscape"/>
          <w:pgMar w:top="1531" w:right="1985" w:bottom="1531" w:left="1418" w:header="851" w:footer="624" w:gutter="0"/>
          <w:pgBorders>
            <w:top w:val="none" w:sz="0" w:space="0"/>
            <w:left w:val="none" w:sz="0" w:space="0"/>
            <w:bottom w:val="none" w:sz="0" w:space="0"/>
            <w:right w:val="none" w:sz="0" w:space="0"/>
          </w:pgBorders>
          <w:cols w:space="425" w:num="1"/>
          <w:titlePg/>
          <w:docGrid w:type="lines" w:linePitch="312" w:charSpace="0"/>
        </w:sectPr>
      </w:pPr>
    </w:p>
    <w:p>
      <w:pPr>
        <w:autoSpaceDE w:val="0"/>
        <w:autoSpaceDN w:val="0"/>
        <w:adjustRightInd w:val="0"/>
        <w:spacing w:line="241" w:lineRule="atLeast"/>
        <w:rPr>
          <w:rFonts w:hint="eastAsia" w:ascii="仿宋_GB2312" w:eastAsia="仿宋_GB2312" w:cs="方正黑体简体"/>
          <w:color w:val="000000"/>
          <w:kern w:val="0"/>
          <w:sz w:val="30"/>
          <w:szCs w:val="30"/>
        </w:rPr>
      </w:pPr>
      <w:r>
        <w:rPr>
          <w:rFonts w:hint="eastAsia" w:ascii="仿宋_GB2312" w:eastAsia="仿宋_GB2312" w:cs="方正黑体简体"/>
          <w:color w:val="000000"/>
          <w:kern w:val="0"/>
          <w:sz w:val="30"/>
          <w:szCs w:val="30"/>
        </w:rPr>
        <w:t xml:space="preserve">附件2 </w:t>
      </w:r>
    </w:p>
    <w:p>
      <w:pPr>
        <w:autoSpaceDE w:val="0"/>
        <w:autoSpaceDN w:val="0"/>
        <w:adjustRightInd w:val="0"/>
        <w:spacing w:line="241" w:lineRule="atLeast"/>
        <w:jc w:val="center"/>
        <w:rPr>
          <w:rFonts w:ascii="宋体" w:hAnsi="宋体" w:cs="方正小标宋简体"/>
          <w:b/>
          <w:color w:val="000000"/>
          <w:kern w:val="0"/>
          <w:sz w:val="44"/>
          <w:szCs w:val="44"/>
        </w:rPr>
      </w:pPr>
      <w:r>
        <w:rPr>
          <w:rFonts w:ascii="宋体" w:hAnsi="宋体" w:cs="方正小标宋简体"/>
          <w:b/>
          <w:color w:val="000000"/>
          <w:kern w:val="0"/>
          <w:sz w:val="44"/>
          <w:szCs w:val="44"/>
        </w:rPr>
        <w:t>202</w:t>
      </w:r>
      <w:r>
        <w:rPr>
          <w:rFonts w:hint="eastAsia" w:ascii="宋体" w:hAnsi="宋体" w:cs="方正小标宋简体"/>
          <w:b/>
          <w:color w:val="000000"/>
          <w:kern w:val="0"/>
          <w:sz w:val="44"/>
          <w:szCs w:val="44"/>
          <w:lang w:val="en-US" w:eastAsia="zh-CN"/>
        </w:rPr>
        <w:t>2</w:t>
      </w:r>
      <w:r>
        <w:rPr>
          <w:rFonts w:hint="eastAsia" w:ascii="宋体" w:hAnsi="宋体" w:cs="方正小标宋简体"/>
          <w:b/>
          <w:color w:val="000000"/>
          <w:kern w:val="0"/>
          <w:sz w:val="44"/>
          <w:szCs w:val="44"/>
        </w:rPr>
        <w:t>年度稽核代办处名单及时间安排</w:t>
      </w:r>
      <w:r>
        <w:rPr>
          <w:rFonts w:ascii="宋体" w:hAnsi="宋体" w:cs="方正小标宋简体"/>
          <w:b/>
          <w:color w:val="000000"/>
          <w:kern w:val="0"/>
          <w:sz w:val="44"/>
          <w:szCs w:val="44"/>
        </w:rPr>
        <w:t xml:space="preserve"> </w:t>
      </w:r>
    </w:p>
    <w:tbl>
      <w:tblPr>
        <w:tblStyle w:val="3"/>
        <w:tblpPr w:leftFromText="180" w:rightFromText="180" w:vertAnchor="text" w:horzAnchor="page" w:tblpXSpec="center" w:tblpY="613"/>
        <w:tblOverlap w:val="never"/>
        <w:tblW w:w="984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66"/>
        <w:gridCol w:w="1555"/>
        <w:gridCol w:w="1736"/>
        <w:gridCol w:w="1555"/>
        <w:gridCol w:w="1379"/>
        <w:gridCol w:w="1377"/>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8"/>
                <w:szCs w:val="18"/>
                <w:u w:val="none"/>
              </w:rPr>
            </w:pPr>
            <w:r>
              <w:rPr>
                <w:rFonts w:hint="eastAsia" w:ascii="楷体" w:hAnsi="楷体" w:eastAsia="楷体" w:cs="楷体"/>
                <w:b/>
                <w:i w:val="0"/>
                <w:color w:val="000000"/>
                <w:kern w:val="0"/>
                <w:sz w:val="18"/>
                <w:szCs w:val="18"/>
                <w:u w:val="none"/>
                <w:lang w:val="en-US" w:eastAsia="zh-CN" w:bidi="ar"/>
              </w:rPr>
              <w:t>稽核时间</w:t>
            </w:r>
          </w:p>
        </w:tc>
        <w:tc>
          <w:tcPr>
            <w:tcW w:w="8978"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8"/>
                <w:szCs w:val="18"/>
                <w:u w:val="none"/>
              </w:rPr>
            </w:pPr>
            <w:r>
              <w:rPr>
                <w:rFonts w:hint="eastAsia" w:ascii="楷体" w:hAnsi="楷体" w:eastAsia="楷体" w:cs="楷体"/>
                <w:b/>
                <w:i w:val="0"/>
                <w:color w:val="000000"/>
                <w:kern w:val="0"/>
                <w:sz w:val="18"/>
                <w:szCs w:val="18"/>
                <w:u w:val="none"/>
                <w:lang w:val="en-US" w:eastAsia="zh-CN" w:bidi="ar"/>
              </w:rPr>
              <w:t>稽 核 代 办 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8"/>
                <w:szCs w:val="18"/>
                <w:u w:val="none"/>
              </w:rPr>
            </w:pPr>
            <w:r>
              <w:rPr>
                <w:rFonts w:hint="eastAsia" w:ascii="楷体" w:hAnsi="楷体" w:eastAsia="楷体" w:cs="楷体"/>
                <w:b/>
                <w:i w:val="0"/>
                <w:color w:val="000000"/>
                <w:kern w:val="0"/>
                <w:sz w:val="18"/>
                <w:szCs w:val="18"/>
                <w:u w:val="none"/>
                <w:lang w:val="en-US" w:eastAsia="zh-CN" w:bidi="ar"/>
              </w:rPr>
              <w:t>3月份</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京城机电（002）</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大兴区（084）</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公交集团（009）</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海淀（017）</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5"/>
                <w:szCs w:val="15"/>
                <w:u w:val="none"/>
                <w:lang w:val="en-US" w:eastAsia="zh-CN" w:bidi="ar"/>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8"/>
                <w:szCs w:val="18"/>
                <w:u w:val="none"/>
              </w:rPr>
            </w:pPr>
            <w:r>
              <w:rPr>
                <w:rFonts w:hint="eastAsia" w:ascii="楷体" w:hAnsi="楷体" w:eastAsia="楷体" w:cs="楷体"/>
                <w:b/>
                <w:i w:val="0"/>
                <w:color w:val="000000"/>
                <w:kern w:val="0"/>
                <w:sz w:val="18"/>
                <w:szCs w:val="18"/>
                <w:u w:val="none"/>
                <w:lang w:val="en-US" w:eastAsia="zh-CN" w:bidi="ar"/>
              </w:rPr>
              <w:t>4月份</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顺义（019）</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热力（021）</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石景山（027）</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汽车集团（032）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二七机车（036）</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5"/>
                <w:szCs w:val="15"/>
                <w:u w:val="none"/>
                <w:lang w:val="en-US" w:eastAsia="zh-CN" w:bidi="ar"/>
              </w:rPr>
            </w:pPr>
            <w:r>
              <w:rPr>
                <w:rFonts w:hint="eastAsia" w:ascii="宋体" w:hAnsi="宋体" w:eastAsia="宋体" w:cs="宋体"/>
                <w:b/>
                <w:i w:val="0"/>
                <w:color w:val="000000"/>
                <w:kern w:val="0"/>
                <w:sz w:val="15"/>
                <w:szCs w:val="15"/>
                <w:u w:val="none"/>
                <w:lang w:val="en-US" w:eastAsia="zh-CN" w:bidi="ar"/>
              </w:rPr>
              <w:t>二七车辆（082）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8"/>
                <w:szCs w:val="18"/>
                <w:u w:val="none"/>
              </w:rPr>
            </w:pPr>
            <w:r>
              <w:rPr>
                <w:rFonts w:hint="eastAsia" w:ascii="楷体" w:hAnsi="楷体" w:eastAsia="楷体" w:cs="楷体"/>
                <w:b/>
                <w:i w:val="0"/>
                <w:color w:val="000000"/>
                <w:kern w:val="0"/>
                <w:sz w:val="18"/>
                <w:szCs w:val="18"/>
                <w:u w:val="none"/>
                <w:lang w:val="en-US" w:eastAsia="zh-CN" w:bidi="ar"/>
              </w:rPr>
              <w:t>5月份</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燕化集团（050）</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供销合作总社（052）</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市政集团（059）</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南口机车（003）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新广电局（066）</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中铁六局（067）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8"/>
                <w:szCs w:val="18"/>
                <w:u w:val="none"/>
              </w:rPr>
            </w:pPr>
            <w:r>
              <w:rPr>
                <w:rFonts w:hint="eastAsia" w:ascii="楷体" w:hAnsi="楷体" w:eastAsia="楷体" w:cs="楷体"/>
                <w:b/>
                <w:i w:val="0"/>
                <w:color w:val="000000"/>
                <w:kern w:val="0"/>
                <w:sz w:val="18"/>
                <w:szCs w:val="18"/>
                <w:u w:val="none"/>
                <w:lang w:val="en-US" w:eastAsia="zh-CN" w:bidi="ar"/>
              </w:rPr>
              <w:t>6月份</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建工集团（070）</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通州（071）</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首发集团（072）</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延庆（073）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卫计委（074）</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邮政集团（078）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8"/>
                <w:szCs w:val="18"/>
                <w:u w:val="none"/>
              </w:rPr>
            </w:pPr>
            <w:r>
              <w:rPr>
                <w:rFonts w:hint="eastAsia" w:ascii="楷体" w:hAnsi="楷体" w:eastAsia="楷体" w:cs="楷体"/>
                <w:b/>
                <w:i w:val="0"/>
                <w:color w:val="000000"/>
                <w:kern w:val="0"/>
                <w:sz w:val="18"/>
                <w:szCs w:val="18"/>
                <w:u w:val="none"/>
                <w:lang w:val="en-US" w:eastAsia="zh-CN" w:bidi="ar"/>
              </w:rPr>
              <w:t>7月份</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养护集团（080）</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中建一局（041）</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环卫集团（117）</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首钢（063）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门头沟（089）</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昌平（090）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3"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8"/>
                <w:szCs w:val="18"/>
                <w:u w:val="none"/>
              </w:rPr>
            </w:pPr>
            <w:r>
              <w:rPr>
                <w:rFonts w:hint="eastAsia" w:ascii="楷体" w:hAnsi="楷体" w:eastAsia="楷体" w:cs="楷体"/>
                <w:b/>
                <w:i w:val="0"/>
                <w:color w:val="000000"/>
                <w:kern w:val="0"/>
                <w:sz w:val="18"/>
                <w:szCs w:val="18"/>
                <w:u w:val="none"/>
                <w:lang w:val="en-US" w:eastAsia="zh-CN" w:bidi="ar"/>
              </w:rPr>
              <w:t>8月份</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中国通用（091）</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城建集团（092）</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京煤集团（097）</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北辰集团（098）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公园管理中心（099）</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自来水集团（101）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5"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8"/>
                <w:szCs w:val="18"/>
                <w:u w:val="none"/>
              </w:rPr>
            </w:pPr>
            <w:r>
              <w:rPr>
                <w:rFonts w:hint="eastAsia" w:ascii="楷体" w:hAnsi="楷体" w:eastAsia="楷体" w:cs="楷体"/>
                <w:b/>
                <w:i w:val="0"/>
                <w:color w:val="000000"/>
                <w:kern w:val="0"/>
                <w:sz w:val="18"/>
                <w:szCs w:val="18"/>
                <w:u w:val="none"/>
                <w:lang w:val="en-US" w:eastAsia="zh-CN" w:bidi="ar"/>
              </w:rPr>
              <w:t>9月份</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排水集团（102）</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北京银行（105）</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发行集团（110）</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广播电视台（083）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北燃实业（132）</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首开集团（138）</w:t>
            </w:r>
          </w:p>
        </w:tc>
      </w:tr>
    </w:tbl>
    <w:p>
      <w:pPr>
        <w:autoSpaceDE w:val="0"/>
        <w:autoSpaceDN w:val="0"/>
        <w:adjustRightInd w:val="0"/>
        <w:spacing w:line="241" w:lineRule="atLeast"/>
        <w:jc w:val="center"/>
        <w:rPr>
          <w:rFonts w:ascii="宋体" w:hAnsi="宋体" w:cs="方正小标宋简体"/>
          <w:b/>
          <w:color w:val="000000"/>
          <w:kern w:val="0"/>
          <w:sz w:val="44"/>
          <w:szCs w:val="44"/>
        </w:rPr>
      </w:pPr>
    </w:p>
    <w:p>
      <w:pPr>
        <w:autoSpaceDE w:val="0"/>
        <w:autoSpaceDN w:val="0"/>
        <w:adjustRightInd w:val="0"/>
        <w:spacing w:line="241" w:lineRule="atLeast"/>
        <w:jc w:val="center"/>
        <w:rPr>
          <w:rFonts w:ascii="方正小标宋简体" w:eastAsia="方正小标宋简体" w:cs="方正小标宋简体"/>
          <w:color w:val="000000"/>
          <w:kern w:val="0"/>
          <w:sz w:val="40"/>
          <w:szCs w:val="40"/>
        </w:rPr>
      </w:pPr>
    </w:p>
    <w:p>
      <w:pPr>
        <w:autoSpaceDE w:val="0"/>
        <w:autoSpaceDN w:val="0"/>
        <w:adjustRightInd w:val="0"/>
        <w:spacing w:line="241" w:lineRule="atLeast"/>
        <w:jc w:val="center"/>
        <w:rPr>
          <w:rFonts w:ascii="方正小标宋简体" w:eastAsia="方正小标宋简体" w:cs="方正小标宋简体"/>
          <w:color w:val="000000"/>
          <w:kern w:val="0"/>
          <w:sz w:val="40"/>
          <w:szCs w:val="40"/>
        </w:rPr>
      </w:pPr>
    </w:p>
    <w:p>
      <w:pPr>
        <w:autoSpaceDE w:val="0"/>
        <w:autoSpaceDN w:val="0"/>
        <w:adjustRightInd w:val="0"/>
        <w:spacing w:line="241" w:lineRule="atLeast"/>
        <w:jc w:val="center"/>
        <w:rPr>
          <w:rFonts w:ascii="方正小标宋简体" w:eastAsia="方正小标宋简体" w:cs="方正小标宋简体"/>
          <w:color w:val="000000"/>
          <w:kern w:val="0"/>
          <w:sz w:val="40"/>
          <w:szCs w:val="40"/>
        </w:rPr>
      </w:pPr>
    </w:p>
    <w:p>
      <w:pPr>
        <w:autoSpaceDE w:val="0"/>
        <w:autoSpaceDN w:val="0"/>
        <w:adjustRightInd w:val="0"/>
        <w:spacing w:line="241" w:lineRule="atLeast"/>
        <w:jc w:val="center"/>
        <w:rPr>
          <w:rFonts w:ascii="方正小标宋简体" w:eastAsia="方正小标宋简体" w:cs="方正小标宋简体"/>
          <w:color w:val="000000"/>
          <w:kern w:val="0"/>
          <w:sz w:val="40"/>
          <w:szCs w:val="40"/>
        </w:rPr>
      </w:pPr>
    </w:p>
    <w:p>
      <w:pPr>
        <w:autoSpaceDE w:val="0"/>
        <w:autoSpaceDN w:val="0"/>
        <w:adjustRightInd w:val="0"/>
        <w:spacing w:line="241" w:lineRule="atLeast"/>
        <w:jc w:val="center"/>
        <w:rPr>
          <w:rFonts w:ascii="方正小标宋简体" w:eastAsia="方正小标宋简体" w:cs="方正小标宋简体"/>
          <w:color w:val="000000"/>
          <w:kern w:val="0"/>
          <w:sz w:val="40"/>
          <w:szCs w:val="40"/>
        </w:rPr>
      </w:pPr>
    </w:p>
    <w:p>
      <w:pPr>
        <w:autoSpaceDE w:val="0"/>
        <w:autoSpaceDN w:val="0"/>
        <w:adjustRightInd w:val="0"/>
        <w:spacing w:line="241" w:lineRule="atLeast"/>
        <w:jc w:val="center"/>
        <w:rPr>
          <w:rFonts w:ascii="方正小标宋简体" w:eastAsia="方正小标宋简体" w:cs="方正小标宋简体"/>
          <w:color w:val="000000"/>
          <w:kern w:val="0"/>
          <w:sz w:val="40"/>
          <w:szCs w:val="40"/>
        </w:rPr>
      </w:pPr>
    </w:p>
    <w:p>
      <w:pPr>
        <w:autoSpaceDE w:val="0"/>
        <w:autoSpaceDN w:val="0"/>
        <w:adjustRightInd w:val="0"/>
        <w:spacing w:line="241" w:lineRule="atLeast"/>
        <w:jc w:val="center"/>
        <w:rPr>
          <w:rFonts w:ascii="方正小标宋简体" w:eastAsia="方正小标宋简体" w:cs="方正小标宋简体"/>
          <w:color w:val="000000"/>
          <w:kern w:val="0"/>
          <w:sz w:val="40"/>
          <w:szCs w:val="40"/>
        </w:rPr>
      </w:pPr>
    </w:p>
    <w:p>
      <w:pPr>
        <w:autoSpaceDE w:val="0"/>
        <w:autoSpaceDN w:val="0"/>
        <w:adjustRightInd w:val="0"/>
        <w:spacing w:line="241" w:lineRule="atLeast"/>
        <w:jc w:val="center"/>
        <w:rPr>
          <w:rFonts w:ascii="方正小标宋简体" w:eastAsia="方正小标宋简体" w:cs="方正小标宋简体"/>
          <w:color w:val="000000"/>
          <w:kern w:val="0"/>
          <w:sz w:val="40"/>
          <w:szCs w:val="40"/>
        </w:rPr>
      </w:pPr>
    </w:p>
    <w:p>
      <w:pPr>
        <w:autoSpaceDE w:val="0"/>
        <w:autoSpaceDN w:val="0"/>
        <w:adjustRightInd w:val="0"/>
        <w:spacing w:line="241" w:lineRule="atLeast"/>
        <w:rPr>
          <w:rFonts w:hint="eastAsia" w:ascii="仿宋_GB2312" w:eastAsia="仿宋_GB2312" w:cs="方正黑体简体"/>
          <w:color w:val="000000"/>
          <w:kern w:val="0"/>
          <w:sz w:val="30"/>
          <w:szCs w:val="30"/>
        </w:rPr>
      </w:pPr>
      <w:r>
        <w:rPr>
          <w:rFonts w:hint="eastAsia" w:ascii="仿宋_GB2312" w:eastAsia="仿宋_GB2312" w:cs="方正黑体简体"/>
          <w:color w:val="000000"/>
          <w:kern w:val="0"/>
          <w:sz w:val="30"/>
          <w:szCs w:val="30"/>
        </w:rPr>
        <w:t xml:space="preserve">附件3 </w:t>
      </w:r>
    </w:p>
    <w:p>
      <w:pPr>
        <w:autoSpaceDE w:val="0"/>
        <w:autoSpaceDN w:val="0"/>
        <w:adjustRightInd w:val="0"/>
        <w:spacing w:line="241" w:lineRule="atLeast"/>
        <w:jc w:val="center"/>
        <w:rPr>
          <w:rFonts w:ascii="宋体" w:hAnsi="宋体" w:cs="方正小标宋简体"/>
          <w:b/>
          <w:color w:val="000000"/>
          <w:kern w:val="0"/>
          <w:sz w:val="44"/>
          <w:szCs w:val="44"/>
        </w:rPr>
      </w:pPr>
      <w:r>
        <w:rPr>
          <w:rFonts w:hint="eastAsia" w:ascii="宋体" w:hAnsi="宋体" w:cs="方正小标宋简体"/>
          <w:b/>
          <w:color w:val="000000"/>
          <w:kern w:val="0"/>
          <w:sz w:val="44"/>
          <w:szCs w:val="44"/>
        </w:rPr>
        <w:t>代办处稽核前应准备的资料</w:t>
      </w:r>
      <w:r>
        <w:rPr>
          <w:rFonts w:ascii="宋体" w:hAnsi="宋体" w:cs="方正小标宋简体"/>
          <w:b/>
          <w:color w:val="000000"/>
          <w:kern w:val="0"/>
          <w:sz w:val="44"/>
          <w:szCs w:val="44"/>
        </w:rPr>
        <w:t xml:space="preserve"> </w:t>
      </w:r>
    </w:p>
    <w:p>
      <w:pPr>
        <w:autoSpaceDE w:val="0"/>
        <w:autoSpaceDN w:val="0"/>
        <w:adjustRightInd w:val="0"/>
        <w:spacing w:line="241" w:lineRule="atLeast"/>
        <w:ind w:firstLine="620"/>
        <w:rPr>
          <w:rFonts w:ascii="仿宋_GB2312" w:eastAsia="仿宋_GB2312" w:cs="仿宋.体简体"/>
          <w:color w:val="000000"/>
          <w:kern w:val="0"/>
          <w:sz w:val="32"/>
          <w:szCs w:val="32"/>
        </w:rPr>
      </w:pPr>
    </w:p>
    <w:p>
      <w:pPr>
        <w:autoSpaceDE w:val="0"/>
        <w:autoSpaceDN w:val="0"/>
        <w:adjustRightInd w:val="0"/>
        <w:spacing w:line="241" w:lineRule="atLeast"/>
        <w:ind w:firstLine="620"/>
        <w:rPr>
          <w:rFonts w:hint="default" w:ascii="仿宋_GB2312" w:eastAsia="仿宋_GB2312" w:cs="仿宋.体简体"/>
          <w:color w:val="000000"/>
          <w:kern w:val="0"/>
          <w:sz w:val="32"/>
          <w:szCs w:val="32"/>
          <w:lang w:val="en-US" w:eastAsia="zh-CN"/>
        </w:rPr>
      </w:pPr>
      <w:r>
        <w:rPr>
          <w:rFonts w:hint="eastAsia" w:ascii="仿宋_GB2312" w:eastAsia="仿宋_GB2312" w:cs="仿宋.体简体"/>
          <w:color w:val="000000"/>
          <w:kern w:val="0"/>
          <w:sz w:val="32"/>
          <w:szCs w:val="32"/>
        </w:rPr>
        <w:t>1.</w:t>
      </w:r>
      <w:r>
        <w:rPr>
          <w:rFonts w:hint="eastAsia" w:ascii="仿宋_GB2312" w:eastAsia="仿宋_GB2312" w:cs="仿宋.体简体"/>
          <w:color w:val="000000"/>
          <w:kern w:val="0"/>
          <w:sz w:val="32"/>
          <w:szCs w:val="32"/>
          <w:lang w:val="en-US" w:eastAsia="zh-CN"/>
        </w:rPr>
        <w:t>代办处登记证、管委会主任和代办处主任聘书</w:t>
      </w:r>
    </w:p>
    <w:p>
      <w:pPr>
        <w:autoSpaceDE w:val="0"/>
        <w:autoSpaceDN w:val="0"/>
        <w:adjustRightInd w:val="0"/>
        <w:spacing w:line="241" w:lineRule="atLeast"/>
        <w:ind w:firstLine="620"/>
        <w:rPr>
          <w:rFonts w:ascii="仿宋_GB2312" w:eastAsia="仿宋_GB2312" w:cs="仿宋.体简体"/>
          <w:color w:val="000000"/>
          <w:kern w:val="0"/>
          <w:sz w:val="32"/>
          <w:szCs w:val="32"/>
        </w:rPr>
      </w:pPr>
      <w:r>
        <w:rPr>
          <w:rFonts w:hint="eastAsia" w:ascii="仿宋_GB2312" w:eastAsia="仿宋_GB2312" w:cs="仿宋.体简体"/>
          <w:color w:val="000000"/>
          <w:kern w:val="0"/>
          <w:sz w:val="32"/>
          <w:szCs w:val="32"/>
          <w:lang w:val="en-US" w:eastAsia="zh-CN"/>
        </w:rPr>
        <w:t>2.</w:t>
      </w:r>
      <w:r>
        <w:rPr>
          <w:rFonts w:hint="eastAsia" w:ascii="仿宋_GB2312" w:eastAsia="仿宋_GB2312" w:cs="仿宋.体简体"/>
          <w:color w:val="000000"/>
          <w:kern w:val="0"/>
          <w:sz w:val="32"/>
          <w:szCs w:val="32"/>
        </w:rPr>
        <w:t>代办处管理制度及相关内控制度</w:t>
      </w:r>
    </w:p>
    <w:p>
      <w:pPr>
        <w:autoSpaceDE w:val="0"/>
        <w:autoSpaceDN w:val="0"/>
        <w:adjustRightInd w:val="0"/>
        <w:spacing w:line="241" w:lineRule="atLeast"/>
        <w:ind w:firstLine="620"/>
        <w:rPr>
          <w:rFonts w:ascii="仿宋_GB2312" w:eastAsia="仿宋_GB2312" w:cs="仿宋.体简体"/>
          <w:color w:val="000000"/>
          <w:kern w:val="0"/>
          <w:sz w:val="32"/>
          <w:szCs w:val="32"/>
        </w:rPr>
      </w:pPr>
      <w:r>
        <w:rPr>
          <w:rFonts w:hint="eastAsia" w:ascii="仿宋_GB2312" w:eastAsia="仿宋_GB2312" w:cs="仿宋.体简体"/>
          <w:color w:val="000000"/>
          <w:kern w:val="0"/>
          <w:sz w:val="32"/>
          <w:szCs w:val="32"/>
          <w:lang w:val="en-US" w:eastAsia="zh-CN"/>
        </w:rPr>
        <w:t>3</w:t>
      </w:r>
      <w:r>
        <w:rPr>
          <w:rFonts w:hint="eastAsia" w:ascii="仿宋_GB2312" w:eastAsia="仿宋_GB2312" w:cs="仿宋.体简体"/>
          <w:color w:val="000000"/>
          <w:kern w:val="0"/>
          <w:sz w:val="32"/>
          <w:szCs w:val="32"/>
        </w:rPr>
        <w:t>.前次稽核报告复印件</w:t>
      </w:r>
    </w:p>
    <w:p>
      <w:pPr>
        <w:autoSpaceDE w:val="0"/>
        <w:autoSpaceDN w:val="0"/>
        <w:adjustRightInd w:val="0"/>
        <w:spacing w:line="241" w:lineRule="atLeast"/>
        <w:ind w:firstLine="620"/>
        <w:rPr>
          <w:rFonts w:ascii="仿宋_GB2312" w:eastAsia="仿宋_GB2312" w:cs="仿宋.体简体"/>
          <w:color w:val="000000"/>
          <w:kern w:val="0"/>
          <w:sz w:val="32"/>
          <w:szCs w:val="32"/>
        </w:rPr>
      </w:pPr>
      <w:r>
        <w:rPr>
          <w:rFonts w:hint="eastAsia" w:ascii="仿宋_GB2312" w:eastAsia="仿宋_GB2312" w:cs="仿宋.体简体"/>
          <w:color w:val="000000"/>
          <w:kern w:val="0"/>
          <w:sz w:val="32"/>
          <w:szCs w:val="32"/>
          <w:lang w:val="en-US" w:eastAsia="zh-CN"/>
        </w:rPr>
        <w:t>4</w:t>
      </w:r>
      <w:r>
        <w:rPr>
          <w:rFonts w:hint="eastAsia" w:ascii="仿宋_GB2312" w:eastAsia="仿宋_GB2312" w:cs="仿宋.体简体"/>
          <w:color w:val="000000"/>
          <w:kern w:val="0"/>
          <w:sz w:val="32"/>
          <w:szCs w:val="32"/>
        </w:rPr>
        <w:t>.代办处需准备20</w:t>
      </w:r>
      <w:r>
        <w:rPr>
          <w:rFonts w:hint="eastAsia" w:ascii="仿宋_GB2312" w:eastAsia="仿宋_GB2312" w:cs="仿宋.体简体"/>
          <w:color w:val="000000"/>
          <w:kern w:val="0"/>
          <w:sz w:val="32"/>
          <w:szCs w:val="32"/>
          <w:lang w:val="en-US" w:eastAsia="zh-CN"/>
        </w:rPr>
        <w:t>21</w:t>
      </w:r>
      <w:r>
        <w:rPr>
          <w:rFonts w:hint="eastAsia" w:ascii="仿宋_GB2312" w:eastAsia="仿宋_GB2312" w:cs="仿宋.体简体"/>
          <w:color w:val="000000"/>
          <w:kern w:val="0"/>
          <w:sz w:val="32"/>
          <w:szCs w:val="32"/>
        </w:rPr>
        <w:t>年度财务情况说明、资产负债表、业务活动表、年度预算</w:t>
      </w:r>
      <w:r>
        <w:rPr>
          <w:rFonts w:ascii="仿宋_GB2312" w:eastAsia="仿宋_GB2312" w:cs="仿宋.体简体"/>
          <w:color w:val="000000"/>
          <w:kern w:val="0"/>
          <w:sz w:val="32"/>
          <w:szCs w:val="32"/>
        </w:rPr>
        <w:t>及预算完成</w:t>
      </w:r>
      <w:r>
        <w:rPr>
          <w:rFonts w:hint="eastAsia" w:ascii="仿宋_GB2312" w:eastAsia="仿宋_GB2312" w:cs="仿宋.体简体"/>
          <w:color w:val="000000"/>
          <w:kern w:val="0"/>
          <w:sz w:val="32"/>
          <w:szCs w:val="32"/>
        </w:rPr>
        <w:t>情况</w:t>
      </w:r>
      <w:r>
        <w:rPr>
          <w:rFonts w:ascii="仿宋_GB2312" w:eastAsia="仿宋_GB2312" w:cs="仿宋.体简体"/>
          <w:color w:val="000000"/>
          <w:kern w:val="0"/>
          <w:sz w:val="32"/>
          <w:szCs w:val="32"/>
        </w:rPr>
        <w:t>表、</w:t>
      </w:r>
      <w:r>
        <w:rPr>
          <w:rFonts w:hint="eastAsia" w:ascii="仿宋_GB2312" w:eastAsia="仿宋_GB2312" w:cs="仿宋.体简体"/>
          <w:color w:val="000000"/>
          <w:kern w:val="0"/>
          <w:sz w:val="32"/>
          <w:szCs w:val="32"/>
        </w:rPr>
        <w:t>银行存款对账单、银行存款余额调节表、银行账户情况表等</w:t>
      </w:r>
    </w:p>
    <w:p>
      <w:pPr>
        <w:autoSpaceDE w:val="0"/>
        <w:autoSpaceDN w:val="0"/>
        <w:adjustRightInd w:val="0"/>
        <w:spacing w:line="241" w:lineRule="atLeast"/>
        <w:ind w:firstLine="620"/>
        <w:rPr>
          <w:rFonts w:ascii="仿宋_GB2312" w:eastAsia="仿宋_GB2312" w:cs="仿宋.体简体"/>
          <w:color w:val="000000"/>
          <w:kern w:val="0"/>
          <w:sz w:val="32"/>
          <w:szCs w:val="32"/>
        </w:rPr>
      </w:pPr>
      <w:r>
        <w:rPr>
          <w:rFonts w:hint="eastAsia" w:ascii="仿宋_GB2312" w:eastAsia="仿宋_GB2312" w:cs="仿宋.体简体"/>
          <w:color w:val="000000"/>
          <w:kern w:val="0"/>
          <w:sz w:val="32"/>
          <w:szCs w:val="32"/>
          <w:lang w:val="en-US" w:eastAsia="zh-CN"/>
        </w:rPr>
        <w:t>5</w:t>
      </w:r>
      <w:r>
        <w:rPr>
          <w:rFonts w:hint="eastAsia" w:ascii="仿宋_GB2312" w:eastAsia="仿宋_GB2312" w:cs="仿宋.体简体"/>
          <w:color w:val="000000"/>
          <w:kern w:val="0"/>
          <w:sz w:val="32"/>
          <w:szCs w:val="32"/>
        </w:rPr>
        <w:t>.20</w:t>
      </w:r>
      <w:r>
        <w:rPr>
          <w:rFonts w:hint="eastAsia" w:ascii="仿宋_GB2312" w:eastAsia="仿宋_GB2312" w:cs="仿宋.体简体"/>
          <w:color w:val="000000"/>
          <w:kern w:val="0"/>
          <w:sz w:val="32"/>
          <w:szCs w:val="32"/>
          <w:lang w:val="en-US" w:eastAsia="zh-CN"/>
        </w:rPr>
        <w:t>21</w:t>
      </w:r>
      <w:r>
        <w:rPr>
          <w:rFonts w:hint="eastAsia" w:ascii="仿宋_GB2312" w:eastAsia="仿宋_GB2312" w:cs="仿宋.体简体"/>
          <w:color w:val="000000"/>
          <w:kern w:val="0"/>
          <w:sz w:val="32"/>
          <w:szCs w:val="32"/>
        </w:rPr>
        <w:t>年总账、明细账及现金、银行存款日记账和全年会计凭证</w:t>
      </w:r>
    </w:p>
    <w:p>
      <w:pPr>
        <w:autoSpaceDE w:val="0"/>
        <w:autoSpaceDN w:val="0"/>
        <w:adjustRightInd w:val="0"/>
        <w:spacing w:line="241" w:lineRule="atLeast"/>
        <w:ind w:firstLine="620"/>
        <w:rPr>
          <w:rFonts w:ascii="仿宋_GB2312" w:eastAsia="仿宋_GB2312" w:cs="仿宋.体简体"/>
          <w:color w:val="000000"/>
          <w:kern w:val="0"/>
          <w:sz w:val="32"/>
          <w:szCs w:val="32"/>
        </w:rPr>
      </w:pPr>
      <w:r>
        <w:rPr>
          <w:rFonts w:hint="eastAsia" w:ascii="仿宋_GB2312" w:eastAsia="仿宋_GB2312" w:cs="仿宋.体简体"/>
          <w:color w:val="000000"/>
          <w:kern w:val="0"/>
          <w:sz w:val="32"/>
          <w:szCs w:val="32"/>
          <w:lang w:val="en-US" w:eastAsia="zh-CN"/>
        </w:rPr>
        <w:t>6</w:t>
      </w:r>
      <w:r>
        <w:rPr>
          <w:rFonts w:hint="eastAsia" w:ascii="仿宋_GB2312" w:eastAsia="仿宋_GB2312" w:cs="仿宋.体简体"/>
          <w:color w:val="000000"/>
          <w:kern w:val="0"/>
          <w:sz w:val="32"/>
          <w:szCs w:val="32"/>
        </w:rPr>
        <w:t>.财产盘点明细表（现金、固定资产）</w:t>
      </w:r>
    </w:p>
    <w:p>
      <w:pPr>
        <w:autoSpaceDE w:val="0"/>
        <w:autoSpaceDN w:val="0"/>
        <w:adjustRightInd w:val="0"/>
        <w:spacing w:line="241" w:lineRule="atLeast"/>
        <w:ind w:firstLine="620"/>
        <w:rPr>
          <w:rFonts w:ascii="仿宋_GB2312" w:eastAsia="仿宋_GB2312" w:cs="仿宋.体简体"/>
          <w:color w:val="000000"/>
          <w:kern w:val="0"/>
          <w:sz w:val="32"/>
          <w:szCs w:val="32"/>
        </w:rPr>
      </w:pPr>
      <w:r>
        <w:rPr>
          <w:rFonts w:hint="eastAsia" w:ascii="仿宋_GB2312" w:eastAsia="仿宋_GB2312" w:cs="仿宋.体简体"/>
          <w:color w:val="000000"/>
          <w:kern w:val="0"/>
          <w:sz w:val="32"/>
          <w:szCs w:val="32"/>
          <w:lang w:val="en-US" w:eastAsia="zh-CN"/>
        </w:rPr>
        <w:t>7</w:t>
      </w:r>
      <w:r>
        <w:rPr>
          <w:rFonts w:hint="eastAsia" w:ascii="仿宋_GB2312" w:eastAsia="仿宋_GB2312" w:cs="仿宋.体简体"/>
          <w:color w:val="000000"/>
          <w:kern w:val="0"/>
          <w:sz w:val="32"/>
          <w:szCs w:val="32"/>
        </w:rPr>
        <w:t>.固定资产的产权证（汽车行驶证），新增固定资产发票复印件、《固定资产购置申请表》、《大宗商品购置申请表》</w:t>
      </w:r>
    </w:p>
    <w:p>
      <w:pPr>
        <w:autoSpaceDE w:val="0"/>
        <w:autoSpaceDN w:val="0"/>
        <w:adjustRightInd w:val="0"/>
        <w:spacing w:line="241" w:lineRule="atLeast"/>
        <w:ind w:firstLine="620"/>
        <w:rPr>
          <w:rFonts w:ascii="仿宋_GB2312" w:eastAsia="仿宋_GB2312" w:cs="仿宋.体简体"/>
          <w:color w:val="000000"/>
          <w:kern w:val="0"/>
          <w:sz w:val="32"/>
          <w:szCs w:val="32"/>
        </w:rPr>
      </w:pPr>
      <w:r>
        <w:rPr>
          <w:rFonts w:hint="eastAsia" w:ascii="仿宋_GB2312" w:eastAsia="仿宋_GB2312" w:cs="仿宋.体简体"/>
          <w:color w:val="000000"/>
          <w:kern w:val="0"/>
          <w:sz w:val="32"/>
          <w:szCs w:val="32"/>
          <w:lang w:val="en-US" w:eastAsia="zh-CN"/>
        </w:rPr>
        <w:t>8</w:t>
      </w:r>
      <w:r>
        <w:rPr>
          <w:rFonts w:hint="eastAsia" w:ascii="仿宋_GB2312" w:eastAsia="仿宋_GB2312" w:cs="仿宋.体简体"/>
          <w:color w:val="000000"/>
          <w:kern w:val="0"/>
          <w:sz w:val="32"/>
          <w:szCs w:val="32"/>
        </w:rPr>
        <w:t xml:space="preserve">.《会费收入、理赔给付业务统计报表》、《慰问金发放登记簿》、《为代办点配置办公设备发放登记表》 </w:t>
      </w:r>
    </w:p>
    <w:p>
      <w:pPr>
        <w:autoSpaceDE w:val="0"/>
        <w:autoSpaceDN w:val="0"/>
        <w:adjustRightInd w:val="0"/>
        <w:spacing w:line="241" w:lineRule="atLeast"/>
        <w:ind w:firstLine="620"/>
        <w:rPr>
          <w:rFonts w:ascii="仿宋_GB2312" w:eastAsia="仿宋_GB2312" w:cs="仿宋.体简体"/>
          <w:color w:val="000000"/>
          <w:kern w:val="0"/>
          <w:sz w:val="32"/>
          <w:szCs w:val="32"/>
        </w:rPr>
      </w:pPr>
      <w:r>
        <w:rPr>
          <w:rFonts w:hint="eastAsia" w:ascii="仿宋_GB2312" w:eastAsia="仿宋_GB2312" w:cs="仿宋.体简体"/>
          <w:color w:val="000000"/>
          <w:kern w:val="0"/>
          <w:sz w:val="32"/>
          <w:szCs w:val="32"/>
          <w:lang w:val="en-US" w:eastAsia="zh-CN"/>
        </w:rPr>
        <w:t>9</w:t>
      </w:r>
      <w:r>
        <w:rPr>
          <w:rFonts w:hint="eastAsia" w:ascii="仿宋_GB2312" w:eastAsia="仿宋_GB2312" w:cs="仿宋.体简体"/>
          <w:color w:val="000000"/>
          <w:kern w:val="0"/>
          <w:sz w:val="32"/>
          <w:szCs w:val="32"/>
        </w:rPr>
        <w:t>.重要业务合同、协议复印件，管理费下拨相关规定，会议通知，开展会员活动的规定和实施方案</w:t>
      </w:r>
    </w:p>
    <w:p>
      <w:pPr>
        <w:autoSpaceDE w:val="0"/>
        <w:autoSpaceDN w:val="0"/>
        <w:adjustRightInd w:val="0"/>
        <w:spacing w:line="241" w:lineRule="atLeast"/>
        <w:ind w:firstLine="640" w:firstLineChars="200"/>
        <w:rPr>
          <w:rFonts w:hint="eastAsia" w:ascii="仿宋_GB2312" w:eastAsia="仿宋_GB2312" w:cs="仿宋.体简体"/>
          <w:color w:val="000000"/>
          <w:kern w:val="0"/>
          <w:sz w:val="32"/>
          <w:szCs w:val="32"/>
        </w:rPr>
      </w:pPr>
      <w:r>
        <w:rPr>
          <w:rFonts w:hint="eastAsia" w:ascii="仿宋_GB2312" w:eastAsia="仿宋_GB2312" w:cs="仿宋.体简体"/>
          <w:color w:val="000000"/>
          <w:kern w:val="0"/>
          <w:sz w:val="32"/>
          <w:szCs w:val="32"/>
          <w:lang w:val="en-US" w:eastAsia="zh-CN"/>
        </w:rPr>
        <w:t>10</w:t>
      </w:r>
      <w:r>
        <w:rPr>
          <w:rFonts w:hint="eastAsia" w:ascii="仿宋_GB2312" w:eastAsia="仿宋_GB2312" w:cs="仿宋.体简体"/>
          <w:color w:val="000000"/>
          <w:kern w:val="0"/>
          <w:sz w:val="32"/>
          <w:szCs w:val="32"/>
        </w:rPr>
        <w:t>.保单、理赔、文件等各类档案</w:t>
      </w:r>
    </w:p>
    <w:p>
      <w:pPr>
        <w:autoSpaceDE w:val="0"/>
        <w:autoSpaceDN w:val="0"/>
        <w:adjustRightInd w:val="0"/>
        <w:spacing w:line="241" w:lineRule="atLeast"/>
        <w:ind w:firstLine="640" w:firstLineChars="200"/>
        <w:rPr>
          <w:rFonts w:ascii="仿宋_GB2312" w:eastAsia="仿宋_GB2312" w:cs="方正小标宋简体"/>
          <w:color w:val="000000"/>
          <w:kern w:val="0"/>
          <w:sz w:val="32"/>
          <w:szCs w:val="32"/>
        </w:rPr>
      </w:pPr>
      <w:r>
        <w:rPr>
          <w:rFonts w:hint="eastAsia" w:ascii="仿宋_GB2312" w:eastAsia="仿宋_GB2312" w:cs="仿宋.体简体"/>
          <w:color w:val="000000"/>
          <w:kern w:val="0"/>
          <w:sz w:val="32"/>
          <w:szCs w:val="32"/>
          <w:lang w:val="en-US" w:eastAsia="zh-CN"/>
        </w:rPr>
        <w:t>11.</w:t>
      </w:r>
      <w:r>
        <w:rPr>
          <w:rFonts w:hint="eastAsia" w:ascii="仿宋_GB2312" w:eastAsia="仿宋_GB2312" w:cs="仿宋.体简体"/>
          <w:color w:val="000000"/>
          <w:kern w:val="0"/>
          <w:sz w:val="32"/>
          <w:szCs w:val="32"/>
        </w:rPr>
        <w:t>业务系统用户名变更表和业务系统用户名备案表</w:t>
      </w:r>
    </w:p>
    <w:p>
      <w:pPr>
        <w:spacing w:line="560" w:lineRule="exact"/>
        <w:jc w:val="left"/>
        <w:rPr>
          <w:rFonts w:hint="eastAsia" w:ascii="仿宋_GB2312" w:eastAsia="仿宋_GB2312"/>
          <w:color w:val="000000"/>
          <w:sz w:val="32"/>
          <w:szCs w:val="32"/>
        </w:rPr>
      </w:pPr>
    </w:p>
    <w:p>
      <w:bookmarkStart w:id="0" w:name="_GoBack"/>
      <w:bookmarkEnd w:id="0"/>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swiss"/>
    <w:pitch w:val="default"/>
    <w:sig w:usb0="00000000" w:usb1="00000000" w:usb2="00000010" w:usb3="00000000" w:csb0="00040000" w:csb1="00000000"/>
  </w:font>
  <w:font w:name="方正小标宋简体">
    <w:altName w:val="Arial Unicode MS"/>
    <w:panose1 w:val="03000509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体简体">
    <w:altName w:val="宋体"/>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CB6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2021-12-13T06:24:42Z</dcterms:created>
  <dc:creator>22537</dc:creator>
  <cp:lastModifiedBy>无伤xi</cp:lastModifiedBy>
  <dcterms:modified xsi:type="dcterms:W3CDTF">2021-12-13T06:24:49Z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